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8B" w:rsidRPr="0039207C" w:rsidRDefault="0039207C">
      <w:pPr>
        <w:rPr>
          <w:rFonts w:hint="default"/>
          <w:color w:val="auto"/>
          <w:sz w:val="21"/>
        </w:rPr>
      </w:pPr>
      <w:r w:rsidRPr="0039207C">
        <w:rPr>
          <w:color w:val="auto"/>
          <w:sz w:val="21"/>
        </w:rPr>
        <w:t>様式１</w:t>
      </w:r>
    </w:p>
    <w:p w:rsidR="00A0238B" w:rsidRPr="0039207C" w:rsidRDefault="00A0238B">
      <w:pPr>
        <w:rPr>
          <w:rFonts w:hint="default"/>
          <w:color w:val="auto"/>
          <w:sz w:val="21"/>
        </w:rPr>
      </w:pPr>
    </w:p>
    <w:p w:rsidR="00A0238B" w:rsidRPr="004C35C6" w:rsidRDefault="0039207C">
      <w:pPr>
        <w:spacing w:line="382" w:lineRule="exact"/>
        <w:jc w:val="center"/>
        <w:rPr>
          <w:rFonts w:asciiTheme="majorEastAsia" w:eastAsiaTheme="majorEastAsia" w:hAnsiTheme="majorEastAsia" w:hint="default"/>
          <w:color w:val="auto"/>
          <w:sz w:val="21"/>
        </w:rPr>
      </w:pPr>
      <w:r w:rsidRPr="004C35C6">
        <w:rPr>
          <w:rFonts w:asciiTheme="majorEastAsia" w:eastAsiaTheme="majorEastAsia" w:hAnsiTheme="majorEastAsia"/>
          <w:color w:val="auto"/>
          <w:sz w:val="30"/>
        </w:rPr>
        <w:t>同　意　書</w:t>
      </w:r>
    </w:p>
    <w:p w:rsidR="00A0238B" w:rsidRPr="0039207C" w:rsidRDefault="00A0238B">
      <w:pPr>
        <w:rPr>
          <w:rFonts w:hint="default"/>
          <w:color w:val="auto"/>
          <w:sz w:val="21"/>
        </w:rPr>
      </w:pPr>
      <w:bookmarkStart w:id="0" w:name="_GoBack"/>
      <w:bookmarkEnd w:id="0"/>
    </w:p>
    <w:p w:rsidR="00A0238B" w:rsidRPr="004C35C6" w:rsidRDefault="004C35C6">
      <w:pPr>
        <w:rPr>
          <w:rFonts w:asciiTheme="majorEastAsia" w:eastAsiaTheme="majorEastAsia" w:hAnsiTheme="majorEastAsia" w:hint="default"/>
          <w:color w:val="auto"/>
          <w:sz w:val="22"/>
          <w:shd w:val="pct15" w:color="auto" w:fill="FFFFFF"/>
        </w:rPr>
      </w:pPr>
      <w:r w:rsidRPr="004C35C6">
        <w:rPr>
          <w:rFonts w:asciiTheme="majorEastAsia" w:eastAsiaTheme="majorEastAsia" w:hAnsiTheme="majorEastAsia"/>
          <w:color w:val="auto"/>
          <w:sz w:val="22"/>
          <w:shd w:val="pct15" w:color="auto" w:fill="FFFFFF"/>
        </w:rPr>
        <w:t>胃がん検診の目的と方法</w:t>
      </w:r>
    </w:p>
    <w:p w:rsidR="004C35C6" w:rsidRDefault="004C35C6" w:rsidP="004C35C6">
      <w:pPr>
        <w:spacing w:beforeLines="25" w:before="73"/>
        <w:rPr>
          <w:rFonts w:hint="default"/>
          <w:color w:val="auto"/>
          <w:sz w:val="21"/>
        </w:rPr>
      </w:pPr>
      <w:r>
        <w:rPr>
          <w:color w:val="auto"/>
          <w:sz w:val="21"/>
        </w:rPr>
        <w:t>○</w:t>
      </w:r>
      <w:r w:rsidR="0039207C" w:rsidRPr="0039207C">
        <w:rPr>
          <w:color w:val="auto"/>
          <w:sz w:val="21"/>
        </w:rPr>
        <w:t>胃がん検診は、症状がない時期にできるだけ早く胃がんを見つけ、早く治療する目的で</w:t>
      </w:r>
    </w:p>
    <w:p w:rsidR="004C35C6" w:rsidRDefault="0039207C" w:rsidP="004C35C6">
      <w:pPr>
        <w:ind w:firstLineChars="100" w:firstLine="213"/>
        <w:rPr>
          <w:rFonts w:hint="default"/>
          <w:color w:val="auto"/>
          <w:sz w:val="21"/>
        </w:rPr>
      </w:pPr>
      <w:r w:rsidRPr="0039207C">
        <w:rPr>
          <w:color w:val="auto"/>
          <w:sz w:val="21"/>
        </w:rPr>
        <w:t>行われています。その方法には、バリウムを用いる方法（胃エックス線検査）と内視鏡</w:t>
      </w:r>
    </w:p>
    <w:p w:rsidR="004C35C6" w:rsidRDefault="0039207C" w:rsidP="004C35C6">
      <w:pPr>
        <w:ind w:firstLineChars="100" w:firstLine="213"/>
        <w:rPr>
          <w:rFonts w:hint="default"/>
          <w:color w:val="auto"/>
          <w:sz w:val="21"/>
        </w:rPr>
      </w:pPr>
      <w:r w:rsidRPr="0039207C">
        <w:rPr>
          <w:color w:val="auto"/>
          <w:sz w:val="21"/>
        </w:rPr>
        <w:t>を用いる検査（胃内視鏡検査）があり、いずれもその効果が証明されています。また、</w:t>
      </w:r>
    </w:p>
    <w:p w:rsidR="00A0238B" w:rsidRPr="0039207C" w:rsidRDefault="0039207C" w:rsidP="004C35C6">
      <w:pPr>
        <w:ind w:firstLineChars="100" w:firstLine="213"/>
        <w:rPr>
          <w:rFonts w:hint="default"/>
          <w:color w:val="auto"/>
          <w:sz w:val="21"/>
        </w:rPr>
      </w:pPr>
      <w:r w:rsidRPr="0039207C">
        <w:rPr>
          <w:color w:val="auto"/>
          <w:sz w:val="21"/>
        </w:rPr>
        <w:t>両者の方法には良いところと悪いところがあります。</w:t>
      </w:r>
    </w:p>
    <w:p w:rsidR="00A0238B" w:rsidRPr="0039207C" w:rsidRDefault="00A0238B">
      <w:pPr>
        <w:rPr>
          <w:rFonts w:hint="default"/>
          <w:color w:val="auto"/>
          <w:sz w:val="21"/>
        </w:rPr>
      </w:pPr>
    </w:p>
    <w:p w:rsidR="00A0238B" w:rsidRPr="004C35C6" w:rsidRDefault="004C35C6">
      <w:pPr>
        <w:rPr>
          <w:rFonts w:asciiTheme="majorEastAsia" w:eastAsiaTheme="majorEastAsia" w:hAnsiTheme="majorEastAsia" w:hint="default"/>
          <w:color w:val="auto"/>
          <w:sz w:val="22"/>
          <w:shd w:val="pct15" w:color="auto" w:fill="FFFFFF"/>
        </w:rPr>
      </w:pPr>
      <w:r w:rsidRPr="004C35C6">
        <w:rPr>
          <w:rFonts w:asciiTheme="majorEastAsia" w:eastAsiaTheme="majorEastAsia" w:hAnsiTheme="majorEastAsia"/>
          <w:color w:val="auto"/>
          <w:sz w:val="22"/>
          <w:shd w:val="pct15" w:color="auto" w:fill="FFFFFF"/>
        </w:rPr>
        <w:t>胃内視鏡検査の方法</w:t>
      </w:r>
    </w:p>
    <w:p w:rsidR="004C35C6" w:rsidRDefault="004C35C6" w:rsidP="004C35C6">
      <w:pPr>
        <w:spacing w:beforeLines="25" w:before="73"/>
        <w:rPr>
          <w:rFonts w:hint="default"/>
          <w:color w:val="auto"/>
          <w:sz w:val="21"/>
        </w:rPr>
      </w:pPr>
      <w:r>
        <w:rPr>
          <w:color w:val="auto"/>
          <w:sz w:val="21"/>
        </w:rPr>
        <w:t>○</w:t>
      </w:r>
      <w:r w:rsidR="0039207C" w:rsidRPr="0039207C">
        <w:rPr>
          <w:color w:val="auto"/>
          <w:sz w:val="21"/>
        </w:rPr>
        <w:t>口</w:t>
      </w:r>
      <w:r>
        <w:rPr>
          <w:color w:val="auto"/>
          <w:sz w:val="21"/>
        </w:rPr>
        <w:t>又は鼻から胃内視鏡を挿入し、食道・胃・十二指腸を内腔から観察し</w:t>
      </w:r>
      <w:r w:rsidR="0039207C" w:rsidRPr="0039207C">
        <w:rPr>
          <w:color w:val="auto"/>
          <w:sz w:val="21"/>
        </w:rPr>
        <w:t>病気を探します。</w:t>
      </w:r>
    </w:p>
    <w:p w:rsidR="00A0238B" w:rsidRPr="0039207C" w:rsidRDefault="0039207C" w:rsidP="004C35C6">
      <w:pPr>
        <w:ind w:firstLineChars="100" w:firstLine="213"/>
        <w:rPr>
          <w:rFonts w:hint="default"/>
          <w:color w:val="auto"/>
          <w:sz w:val="21"/>
        </w:rPr>
      </w:pPr>
      <w:r w:rsidRPr="0039207C">
        <w:rPr>
          <w:color w:val="auto"/>
          <w:sz w:val="21"/>
        </w:rPr>
        <w:t>異常がある場合には、病変の一部をつまみ（生検）、細胞の検査を行うことがあります。</w:t>
      </w:r>
    </w:p>
    <w:p w:rsidR="00A0238B" w:rsidRPr="0039207C" w:rsidRDefault="004C35C6" w:rsidP="004C35C6">
      <w:pPr>
        <w:spacing w:beforeLines="25" w:before="73"/>
        <w:rPr>
          <w:rFonts w:hint="default"/>
          <w:color w:val="auto"/>
          <w:sz w:val="21"/>
        </w:rPr>
      </w:pPr>
      <w:r>
        <w:rPr>
          <w:color w:val="auto"/>
          <w:sz w:val="21"/>
        </w:rPr>
        <w:t>○</w:t>
      </w:r>
      <w:r w:rsidR="0039207C" w:rsidRPr="0039207C">
        <w:rPr>
          <w:color w:val="auto"/>
          <w:sz w:val="21"/>
        </w:rPr>
        <w:t>また、色素を散布して、病変を見やすくすることがあります。</w:t>
      </w:r>
    </w:p>
    <w:p w:rsidR="004C35C6" w:rsidRDefault="004C35C6" w:rsidP="004C35C6">
      <w:pPr>
        <w:spacing w:beforeLines="25" w:before="73"/>
        <w:rPr>
          <w:rFonts w:hint="default"/>
          <w:color w:val="auto"/>
          <w:sz w:val="21"/>
        </w:rPr>
      </w:pPr>
      <w:r>
        <w:rPr>
          <w:color w:val="auto"/>
          <w:sz w:val="21"/>
        </w:rPr>
        <w:t>○</w:t>
      </w:r>
      <w:r w:rsidR="0039207C" w:rsidRPr="0039207C">
        <w:rPr>
          <w:color w:val="auto"/>
          <w:sz w:val="21"/>
        </w:rPr>
        <w:t>なお、生検が行われた場合、生検については保険診療として別途請求があります。</w:t>
      </w:r>
    </w:p>
    <w:p w:rsidR="004C35C6" w:rsidRDefault="0039207C" w:rsidP="004C35C6">
      <w:pPr>
        <w:ind w:firstLineChars="100" w:firstLine="213"/>
        <w:rPr>
          <w:rFonts w:hint="default"/>
          <w:color w:val="auto"/>
          <w:sz w:val="21"/>
        </w:rPr>
      </w:pPr>
      <w:r w:rsidRPr="0039207C">
        <w:rPr>
          <w:color w:val="auto"/>
          <w:sz w:val="21"/>
        </w:rPr>
        <w:t>当日は健康保険証を持参してください。また、生検により粘膜に傷ができますので、</w:t>
      </w:r>
    </w:p>
    <w:p w:rsidR="005370E7" w:rsidRDefault="0039207C" w:rsidP="004C35C6">
      <w:pPr>
        <w:ind w:firstLineChars="100" w:firstLine="213"/>
        <w:rPr>
          <w:rFonts w:hint="default"/>
          <w:color w:val="auto"/>
          <w:sz w:val="21"/>
        </w:rPr>
      </w:pPr>
      <w:r w:rsidRPr="0039207C">
        <w:rPr>
          <w:color w:val="auto"/>
          <w:sz w:val="21"/>
        </w:rPr>
        <w:t>検査後当日の食事は軟らかい消化のよいものを食べてください。飲酒、過激な運動、</w:t>
      </w:r>
    </w:p>
    <w:p w:rsidR="00A0238B" w:rsidRPr="0039207C" w:rsidRDefault="0039207C" w:rsidP="005370E7">
      <w:pPr>
        <w:ind w:firstLineChars="100" w:firstLine="213"/>
        <w:rPr>
          <w:rFonts w:hint="default"/>
          <w:color w:val="auto"/>
          <w:sz w:val="21"/>
        </w:rPr>
      </w:pPr>
      <w:r w:rsidRPr="0039207C">
        <w:rPr>
          <w:color w:val="auto"/>
          <w:sz w:val="21"/>
        </w:rPr>
        <w:t>長湯、旅行などは避けてください。</w:t>
      </w:r>
    </w:p>
    <w:p w:rsidR="00A0238B" w:rsidRPr="004C35C6" w:rsidRDefault="00A0238B">
      <w:pPr>
        <w:rPr>
          <w:rFonts w:hint="default"/>
          <w:color w:val="auto"/>
          <w:sz w:val="21"/>
        </w:rPr>
      </w:pPr>
    </w:p>
    <w:p w:rsidR="00A0238B" w:rsidRPr="004C35C6" w:rsidRDefault="004C35C6">
      <w:pPr>
        <w:rPr>
          <w:rFonts w:asciiTheme="majorEastAsia" w:eastAsiaTheme="majorEastAsia" w:hAnsiTheme="majorEastAsia" w:hint="default"/>
          <w:color w:val="auto"/>
          <w:sz w:val="22"/>
          <w:shd w:val="pct15" w:color="auto" w:fill="FFFFFF"/>
        </w:rPr>
      </w:pPr>
      <w:r w:rsidRPr="004C35C6">
        <w:rPr>
          <w:rFonts w:asciiTheme="majorEastAsia" w:eastAsiaTheme="majorEastAsia" w:hAnsiTheme="majorEastAsia"/>
          <w:color w:val="auto"/>
          <w:sz w:val="22"/>
          <w:shd w:val="pct15" w:color="auto" w:fill="FFFFFF"/>
        </w:rPr>
        <w:t>偶発症</w:t>
      </w:r>
    </w:p>
    <w:p w:rsidR="004C35C6" w:rsidRDefault="004C35C6" w:rsidP="004C35C6">
      <w:pPr>
        <w:spacing w:beforeLines="25" w:before="73"/>
        <w:rPr>
          <w:rFonts w:hint="default"/>
          <w:color w:val="auto"/>
          <w:sz w:val="21"/>
        </w:rPr>
      </w:pPr>
      <w:r>
        <w:rPr>
          <w:color w:val="auto"/>
          <w:sz w:val="21"/>
        </w:rPr>
        <w:t>○</w:t>
      </w:r>
      <w:r w:rsidR="0039207C" w:rsidRPr="0039207C">
        <w:rPr>
          <w:color w:val="auto"/>
          <w:sz w:val="21"/>
        </w:rPr>
        <w:t>偶発症が発生する頻度は、胃内視鏡検診では</w:t>
      </w:r>
      <w:r w:rsidR="0039207C" w:rsidRPr="0039207C">
        <w:rPr>
          <w:color w:val="auto"/>
          <w:sz w:val="21"/>
        </w:rPr>
        <w:t>10</w:t>
      </w:r>
      <w:r w:rsidR="0039207C" w:rsidRPr="0039207C">
        <w:rPr>
          <w:color w:val="auto"/>
          <w:sz w:val="21"/>
        </w:rPr>
        <w:t>万件に</w:t>
      </w:r>
      <w:r w:rsidR="0039207C" w:rsidRPr="0039207C">
        <w:rPr>
          <w:color w:val="auto"/>
          <w:sz w:val="21"/>
        </w:rPr>
        <w:t>87</w:t>
      </w:r>
      <w:r w:rsidR="0039207C" w:rsidRPr="0039207C">
        <w:rPr>
          <w:color w:val="auto"/>
          <w:sz w:val="21"/>
        </w:rPr>
        <w:t>件と全国調査により報告され</w:t>
      </w:r>
    </w:p>
    <w:p w:rsidR="004C35C6" w:rsidRDefault="0039207C" w:rsidP="004C35C6">
      <w:pPr>
        <w:ind w:firstLineChars="100" w:firstLine="213"/>
        <w:rPr>
          <w:rFonts w:hint="default"/>
          <w:color w:val="auto"/>
          <w:sz w:val="21"/>
        </w:rPr>
      </w:pPr>
      <w:r w:rsidRPr="0039207C">
        <w:rPr>
          <w:color w:val="auto"/>
          <w:sz w:val="21"/>
        </w:rPr>
        <w:t>ています。この中には鼻出血などの軽微なものから入院例まで含まれています。</w:t>
      </w:r>
    </w:p>
    <w:p w:rsidR="004C35C6" w:rsidRDefault="0039207C" w:rsidP="004C35C6">
      <w:pPr>
        <w:ind w:firstLineChars="100" w:firstLine="213"/>
        <w:rPr>
          <w:rFonts w:hint="default"/>
          <w:color w:val="auto"/>
          <w:sz w:val="21"/>
        </w:rPr>
      </w:pPr>
      <w:r w:rsidRPr="0039207C">
        <w:rPr>
          <w:color w:val="auto"/>
          <w:sz w:val="21"/>
        </w:rPr>
        <w:t>現在、胃内視鏡検診による死亡事故は報告されていませんが、ごくまれに死亡の可能性</w:t>
      </w:r>
    </w:p>
    <w:p w:rsidR="004C35C6" w:rsidRDefault="004C35C6" w:rsidP="004C35C6">
      <w:pPr>
        <w:ind w:firstLineChars="100" w:firstLine="213"/>
        <w:rPr>
          <w:rFonts w:hint="default"/>
          <w:color w:val="auto"/>
          <w:sz w:val="21"/>
        </w:rPr>
      </w:pPr>
      <w:r>
        <w:rPr>
          <w:color w:val="auto"/>
          <w:sz w:val="21"/>
        </w:rPr>
        <w:t>もあります。</w:t>
      </w:r>
    </w:p>
    <w:p w:rsidR="00A0238B" w:rsidRPr="0039207C" w:rsidRDefault="004C35C6" w:rsidP="004C35C6">
      <w:pPr>
        <w:spacing w:beforeLines="25" w:before="73"/>
        <w:rPr>
          <w:rFonts w:hint="default"/>
          <w:color w:val="auto"/>
          <w:sz w:val="21"/>
        </w:rPr>
      </w:pPr>
      <w:r>
        <w:rPr>
          <w:color w:val="auto"/>
          <w:sz w:val="21"/>
        </w:rPr>
        <w:t>○</w:t>
      </w:r>
      <w:r w:rsidR="0039207C" w:rsidRPr="0039207C">
        <w:rPr>
          <w:color w:val="auto"/>
          <w:sz w:val="21"/>
        </w:rPr>
        <w:t>胃内視鏡検査では、以下の偶発症が起きる可能性があります。</w:t>
      </w:r>
    </w:p>
    <w:p w:rsidR="00A0238B" w:rsidRPr="0039207C" w:rsidRDefault="0039207C">
      <w:pPr>
        <w:rPr>
          <w:rFonts w:hint="default"/>
          <w:color w:val="auto"/>
          <w:sz w:val="21"/>
        </w:rPr>
      </w:pPr>
      <w:r w:rsidRPr="0039207C">
        <w:rPr>
          <w:color w:val="auto"/>
          <w:sz w:val="21"/>
        </w:rPr>
        <w:t>１）胃内視鏡により粘膜に傷がつくことや、出血、穿孔（穴があくこと）</w:t>
      </w:r>
    </w:p>
    <w:p w:rsidR="00A0238B" w:rsidRPr="0039207C" w:rsidRDefault="0039207C">
      <w:pPr>
        <w:rPr>
          <w:rFonts w:hint="default"/>
          <w:color w:val="auto"/>
          <w:sz w:val="21"/>
        </w:rPr>
      </w:pPr>
      <w:r w:rsidRPr="0039207C">
        <w:rPr>
          <w:color w:val="auto"/>
          <w:sz w:val="21"/>
        </w:rPr>
        <w:t>２）生検による出血、穿孔</w:t>
      </w:r>
    </w:p>
    <w:p w:rsidR="00A0238B" w:rsidRPr="0039207C" w:rsidRDefault="0039207C">
      <w:pPr>
        <w:rPr>
          <w:rFonts w:hint="default"/>
          <w:color w:val="auto"/>
          <w:sz w:val="21"/>
        </w:rPr>
      </w:pPr>
      <w:r w:rsidRPr="0039207C">
        <w:rPr>
          <w:color w:val="auto"/>
          <w:sz w:val="21"/>
        </w:rPr>
        <w:t>３）薬剤によるアレルギー（呼吸困難、血圧低下など）</w:t>
      </w:r>
    </w:p>
    <w:p w:rsidR="00A0238B" w:rsidRPr="0039207C" w:rsidRDefault="0039207C">
      <w:pPr>
        <w:rPr>
          <w:rFonts w:hint="default"/>
          <w:color w:val="auto"/>
          <w:sz w:val="21"/>
        </w:rPr>
      </w:pPr>
      <w:r w:rsidRPr="0039207C">
        <w:rPr>
          <w:color w:val="auto"/>
          <w:sz w:val="21"/>
        </w:rPr>
        <w:t>４）検査前からあった疾患の悪化（症状の出ていなかった疾患も含む）</w:t>
      </w:r>
    </w:p>
    <w:p w:rsidR="00464E31" w:rsidRDefault="00464E31">
      <w:pPr>
        <w:rPr>
          <w:rFonts w:hint="default"/>
          <w:color w:val="auto"/>
          <w:sz w:val="21"/>
        </w:rPr>
      </w:pPr>
    </w:p>
    <w:p w:rsidR="00F130B5" w:rsidRDefault="00F130B5">
      <w:pPr>
        <w:rPr>
          <w:rFonts w:hint="default"/>
          <w:color w:val="auto"/>
          <w:sz w:val="21"/>
        </w:rPr>
      </w:pPr>
    </w:p>
    <w:p w:rsidR="004C35C6" w:rsidRPr="0039207C" w:rsidRDefault="004C35C6">
      <w:pPr>
        <w:rPr>
          <w:rFonts w:hint="default"/>
          <w:color w:val="auto"/>
          <w:sz w:val="21"/>
        </w:rPr>
      </w:pPr>
    </w:p>
    <w:p w:rsidR="00464E31" w:rsidRDefault="00F130B5">
      <w:pPr>
        <w:rPr>
          <w:rFonts w:hint="default"/>
          <w:color w:val="auto"/>
          <w:sz w:val="21"/>
        </w:rPr>
      </w:pPr>
      <w:r>
        <w:rPr>
          <w:color w:val="auto"/>
          <w:sz w:val="21"/>
        </w:rPr>
        <w:t>●</w:t>
      </w:r>
      <w:r w:rsidR="0039207C" w:rsidRPr="0039207C">
        <w:rPr>
          <w:color w:val="auto"/>
          <w:sz w:val="21"/>
        </w:rPr>
        <w:t>なお、当施設では偶発症の防止のために十分な注意を払うとともに、偶発症が発生した</w:t>
      </w:r>
    </w:p>
    <w:p w:rsidR="00A0238B" w:rsidRPr="0039207C" w:rsidRDefault="0039207C" w:rsidP="00F130B5">
      <w:pPr>
        <w:ind w:firstLineChars="100" w:firstLine="213"/>
        <w:rPr>
          <w:rFonts w:hint="default"/>
          <w:color w:val="auto"/>
          <w:sz w:val="21"/>
        </w:rPr>
      </w:pPr>
      <w:r w:rsidRPr="0039207C">
        <w:rPr>
          <w:color w:val="auto"/>
          <w:sz w:val="21"/>
        </w:rPr>
        <w:t>場合には最善の対応をいたします。</w:t>
      </w:r>
    </w:p>
    <w:p w:rsidR="00A0238B" w:rsidRPr="0039207C" w:rsidRDefault="0039207C" w:rsidP="00F130B5">
      <w:pPr>
        <w:spacing w:beforeLines="50" w:before="146"/>
        <w:rPr>
          <w:rFonts w:hint="default"/>
          <w:color w:val="auto"/>
          <w:sz w:val="21"/>
        </w:rPr>
      </w:pPr>
      <w:r w:rsidRPr="00E97102">
        <w:rPr>
          <w:color w:val="FFFFFF" w:themeColor="background1"/>
          <w:sz w:val="21"/>
          <w:u w:val="single" w:color="000000"/>
        </w:rPr>
        <w:t>平成</w:t>
      </w:r>
      <w:r w:rsidRPr="0039207C">
        <w:rPr>
          <w:color w:val="auto"/>
          <w:sz w:val="21"/>
          <w:u w:val="single" w:color="000000"/>
        </w:rPr>
        <w:t xml:space="preserve">　　年　　月　　日　　　　説明医師名　　　　　　　　　　　　　　　　</w:t>
      </w:r>
    </w:p>
    <w:p w:rsidR="004C35C6" w:rsidRDefault="004C35C6">
      <w:pPr>
        <w:rPr>
          <w:rFonts w:hint="default"/>
          <w:color w:val="auto"/>
          <w:sz w:val="21"/>
        </w:rPr>
      </w:pPr>
    </w:p>
    <w:p w:rsidR="00464E31" w:rsidRPr="0039207C" w:rsidRDefault="00464E31">
      <w:pPr>
        <w:rPr>
          <w:rFonts w:hint="default"/>
          <w:color w:val="auto"/>
          <w:sz w:val="21"/>
        </w:rPr>
      </w:pPr>
    </w:p>
    <w:p w:rsidR="00A0238B" w:rsidRPr="0039207C" w:rsidRDefault="00F130B5" w:rsidP="004C35C6">
      <w:pPr>
        <w:rPr>
          <w:rFonts w:hint="default"/>
          <w:color w:val="auto"/>
          <w:sz w:val="21"/>
        </w:rPr>
      </w:pPr>
      <w:r>
        <w:rPr>
          <w:color w:val="auto"/>
          <w:sz w:val="21"/>
        </w:rPr>
        <w:t>●</w:t>
      </w:r>
      <w:r w:rsidR="0039207C" w:rsidRPr="0039207C">
        <w:rPr>
          <w:color w:val="auto"/>
          <w:sz w:val="21"/>
        </w:rPr>
        <w:t>上記の事項について、説明を受け、十分に理解しましたので、その実施に同意します。</w:t>
      </w:r>
    </w:p>
    <w:p w:rsidR="00A0238B" w:rsidRPr="0039207C" w:rsidRDefault="0039207C" w:rsidP="00464E31">
      <w:pPr>
        <w:spacing w:beforeLines="50" w:before="146"/>
        <w:rPr>
          <w:rFonts w:hint="default"/>
          <w:color w:val="auto"/>
          <w:sz w:val="21"/>
        </w:rPr>
      </w:pPr>
      <w:r w:rsidRPr="00E97102">
        <w:rPr>
          <w:color w:val="FFFFFF" w:themeColor="background1"/>
          <w:sz w:val="21"/>
        </w:rPr>
        <w:t>平成</w:t>
      </w:r>
      <w:r w:rsidRPr="0039207C">
        <w:rPr>
          <w:color w:val="auto"/>
          <w:sz w:val="21"/>
        </w:rPr>
        <w:t xml:space="preserve">　　年　　月　　日</w:t>
      </w:r>
    </w:p>
    <w:p w:rsidR="00A0238B" w:rsidRPr="0039207C" w:rsidRDefault="0039207C" w:rsidP="00F130B5">
      <w:pPr>
        <w:spacing w:beforeLines="100" w:before="292"/>
        <w:rPr>
          <w:rFonts w:hint="default"/>
          <w:color w:val="auto"/>
          <w:sz w:val="21"/>
        </w:rPr>
      </w:pPr>
      <w:r w:rsidRPr="0039207C">
        <w:rPr>
          <w:color w:val="auto"/>
          <w:sz w:val="21"/>
          <w:u w:val="single" w:color="000000"/>
        </w:rPr>
        <w:t xml:space="preserve">受診者署名　　　　　　　　　　　　　　　　　　　　　　　　　　　　　　　　　</w:t>
      </w:r>
    </w:p>
    <w:p w:rsidR="00A0238B" w:rsidRPr="00F130B5" w:rsidRDefault="0039207C" w:rsidP="00F130B5">
      <w:pPr>
        <w:spacing w:beforeLines="100" w:before="292"/>
        <w:rPr>
          <w:rFonts w:hint="default"/>
          <w:color w:val="auto"/>
          <w:sz w:val="21"/>
        </w:rPr>
        <w:sectPr w:rsidR="00A0238B" w:rsidRPr="00F130B5">
          <w:footerReference w:type="even" r:id="rId8"/>
          <w:footnotePr>
            <w:numRestart w:val="eachPage"/>
          </w:footnotePr>
          <w:endnotePr>
            <w:numFmt w:val="decimal"/>
          </w:endnotePr>
          <w:pgSz w:w="11906" w:h="16838"/>
          <w:pgMar w:top="1701" w:right="1701" w:bottom="1701" w:left="1701" w:header="1134" w:footer="567" w:gutter="0"/>
          <w:cols w:space="720"/>
          <w:docGrid w:type="linesAndChars" w:linePitch="292" w:charSpace="532"/>
        </w:sectPr>
      </w:pPr>
      <w:r w:rsidRPr="0039207C">
        <w:rPr>
          <w:color w:val="auto"/>
          <w:sz w:val="21"/>
          <w:u w:val="single" w:color="000000"/>
        </w:rPr>
        <w:t xml:space="preserve">受診者代理署名　　　　　　　　　　　　　　　　　　（続柄）　　　　　　　　　</w:t>
      </w:r>
      <w:r w:rsidRPr="0039207C">
        <w:rPr>
          <w:color w:val="auto"/>
          <w:sz w:val="21"/>
        </w:rPr>
        <w:t xml:space="preserve">　</w:t>
      </w:r>
    </w:p>
    <w:p w:rsidR="00A0238B" w:rsidRPr="0039207C" w:rsidRDefault="0039207C" w:rsidP="00467D08">
      <w:pPr>
        <w:spacing w:line="280" w:lineRule="exact"/>
        <w:rPr>
          <w:rFonts w:hint="default"/>
          <w:color w:val="auto"/>
          <w:sz w:val="21"/>
        </w:rPr>
      </w:pPr>
      <w:r w:rsidRPr="0039207C">
        <w:rPr>
          <w:color w:val="auto"/>
          <w:sz w:val="21"/>
        </w:rPr>
        <w:lastRenderedPageBreak/>
        <w:t>様式３</w:t>
      </w:r>
    </w:p>
    <w:p w:rsidR="00A0238B" w:rsidRPr="00E97102" w:rsidRDefault="0039207C" w:rsidP="00467D08">
      <w:pPr>
        <w:spacing w:line="280" w:lineRule="exact"/>
        <w:jc w:val="center"/>
        <w:rPr>
          <w:rFonts w:asciiTheme="majorEastAsia" w:eastAsiaTheme="majorEastAsia" w:hAnsiTheme="majorEastAsia" w:hint="default"/>
          <w:color w:val="auto"/>
          <w:sz w:val="21"/>
        </w:rPr>
      </w:pPr>
      <w:r w:rsidRPr="00E97102">
        <w:rPr>
          <w:rFonts w:asciiTheme="majorEastAsia" w:eastAsiaTheme="majorEastAsia" w:hAnsiTheme="majorEastAsia"/>
          <w:color w:val="auto"/>
          <w:sz w:val="28"/>
        </w:rPr>
        <w:t>胃がん検診</w:t>
      </w:r>
      <w:r w:rsidRPr="00E97102">
        <w:rPr>
          <w:rFonts w:asciiTheme="majorEastAsia" w:eastAsiaTheme="majorEastAsia" w:hAnsiTheme="majorEastAsia"/>
          <w:color w:val="auto"/>
          <w:spacing w:val="-10"/>
          <w:sz w:val="28"/>
        </w:rPr>
        <w:t xml:space="preserve"> </w:t>
      </w:r>
      <w:r w:rsidRPr="00E97102">
        <w:rPr>
          <w:rFonts w:asciiTheme="majorEastAsia" w:eastAsiaTheme="majorEastAsia" w:hAnsiTheme="majorEastAsia"/>
          <w:color w:val="auto"/>
          <w:sz w:val="28"/>
        </w:rPr>
        <w:t>内視鏡画像評価票</w:t>
      </w:r>
    </w:p>
    <w:p w:rsidR="00A0238B" w:rsidRPr="0039207C" w:rsidRDefault="0039207C" w:rsidP="00467D08">
      <w:pPr>
        <w:spacing w:line="240" w:lineRule="exact"/>
        <w:jc w:val="right"/>
        <w:rPr>
          <w:rFonts w:hint="default"/>
          <w:color w:val="auto"/>
          <w:sz w:val="21"/>
        </w:rPr>
      </w:pPr>
      <w:r w:rsidRPr="0039207C">
        <w:rPr>
          <w:color w:val="auto"/>
          <w:sz w:val="21"/>
        </w:rPr>
        <w:t xml:space="preserve">　　年　　月　　日</w:t>
      </w:r>
    </w:p>
    <w:p w:rsidR="00A0238B" w:rsidRPr="0039207C" w:rsidRDefault="0039207C" w:rsidP="00467D08">
      <w:pPr>
        <w:spacing w:line="240" w:lineRule="exact"/>
        <w:rPr>
          <w:rFonts w:hint="default"/>
          <w:color w:val="auto"/>
          <w:sz w:val="21"/>
        </w:rPr>
      </w:pPr>
      <w:r w:rsidRPr="0039207C">
        <w:rPr>
          <w:color w:val="auto"/>
          <w:spacing w:val="-8"/>
          <w:sz w:val="21"/>
        </w:rPr>
        <w:t xml:space="preserve">  </w:t>
      </w:r>
      <w:r w:rsidRPr="0039207C">
        <w:rPr>
          <w:color w:val="auto"/>
          <w:sz w:val="21"/>
        </w:rPr>
        <w:t>検診機関名（　　　　　　　　　　　　　　　　）</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39207C" w:rsidRPr="0039207C" w:rsidTr="007E7433">
        <w:trPr>
          <w:trHeight w:val="3742"/>
        </w:trPr>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F4B" w:rsidRPr="00BC0F2D" w:rsidRDefault="007A133F" w:rsidP="002C5A24">
            <w:pPr>
              <w:spacing w:line="235"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Ⅰ.</w:t>
            </w:r>
            <w:r w:rsidR="0039207C" w:rsidRPr="00BC0F2D">
              <w:rPr>
                <w:rFonts w:ascii="ＭＳ Ｐゴシック" w:eastAsia="ＭＳ Ｐゴシック" w:hAnsi="ＭＳ Ｐゴシック"/>
                <w:color w:val="auto"/>
              </w:rPr>
              <w:t>画像の網羅性</w:t>
            </w:r>
          </w:p>
          <w:p w:rsidR="005A2D8B" w:rsidRDefault="0039207C" w:rsidP="00A00EF2">
            <w:pPr>
              <w:spacing w:beforeLines="25" w:before="111" w:line="235" w:lineRule="exact"/>
              <w:rPr>
                <w:rFonts w:ascii="ＭＳ ゴシック" w:eastAsia="ＭＳ ゴシック" w:hAnsi="ＭＳ ゴシック" w:hint="default"/>
                <w:color w:val="auto"/>
              </w:rPr>
            </w:pP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□満足しうる</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□多少改善の余地あり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□大幅に改善の余地あり</w:t>
            </w:r>
          </w:p>
          <w:p w:rsidR="005A2D8B" w:rsidRPr="00304377" w:rsidRDefault="005A2D8B" w:rsidP="00A00EF2">
            <w:pPr>
              <w:spacing w:beforeLines="50" w:before="223" w:line="235" w:lineRule="exact"/>
              <w:ind w:firstLineChars="100" w:firstLine="204"/>
              <w:rPr>
                <w:rFonts w:ascii="ＭＳ Ｐゴシック" w:eastAsia="ＭＳ Ｐゴシック" w:hAnsi="ＭＳ Ｐゴシック" w:hint="default"/>
                <w:color w:val="auto"/>
              </w:rPr>
            </w:pPr>
            <w:r w:rsidRPr="00304377">
              <w:rPr>
                <w:rFonts w:ascii="ＭＳ Ｐゴシック" w:eastAsia="ＭＳ Ｐゴシック" w:hAnsi="ＭＳ Ｐゴシック"/>
                <w:color w:val="auto"/>
                <w:sz w:val="20"/>
              </w:rPr>
              <w:t>※改善を要する部位</w:t>
            </w:r>
            <w:r w:rsidRPr="00304377">
              <w:rPr>
                <w:rFonts w:ascii="ＭＳ Ｐゴシック" w:eastAsia="ＭＳ Ｐゴシック" w:hAnsi="ＭＳ Ｐゴシック"/>
                <w:color w:val="auto"/>
                <w:spacing w:val="-7"/>
                <w:sz w:val="20"/>
              </w:rPr>
              <w:t xml:space="preserve"> </w:t>
            </w:r>
            <w:r w:rsidRPr="00304377">
              <w:rPr>
                <w:rFonts w:ascii="ＭＳ Ｐゴシック" w:eastAsia="ＭＳ Ｐゴシック" w:hAnsi="ＭＳ Ｐゴシック"/>
                <w:color w:val="auto"/>
                <w:sz w:val="20"/>
              </w:rPr>
              <w:t>（Ⅰで「満足しうる」以外の場合チェック）</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□食道</w:t>
            </w:r>
          </w:p>
          <w:p w:rsidR="005A2D8B" w:rsidRDefault="005A2D8B" w:rsidP="00A00EF2">
            <w:pPr>
              <w:spacing w:line="235" w:lineRule="exact"/>
              <w:ind w:firstLineChars="200" w:firstLine="409"/>
              <w:rPr>
                <w:rFonts w:hint="default"/>
                <w:color w:val="auto"/>
              </w:rPr>
            </w:pPr>
            <w:r w:rsidRPr="0039207C">
              <w:rPr>
                <w:rFonts w:ascii="ＭＳ 明朝" w:hAnsi="ＭＳ 明朝"/>
                <w:color w:val="auto"/>
                <w:sz w:val="20"/>
              </w:rPr>
              <w:t>□噴門部</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□穹窿部</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□胃体上部　→　□前壁　□後壁　□小彎　□大彎曲</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□胃体中部　→　□前壁　□後壁　□小彎　□大彎曲</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□胃体下部　→　□前壁　□後壁　□小彎　□大彎曲</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□胃角部</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□前庭部</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□幽門部</w:t>
            </w:r>
          </w:p>
          <w:p w:rsidR="005A2D8B" w:rsidRPr="0039207C" w:rsidRDefault="005A2D8B" w:rsidP="00A00EF2">
            <w:pPr>
              <w:spacing w:line="235" w:lineRule="exact"/>
              <w:ind w:firstLineChars="200" w:firstLine="409"/>
              <w:rPr>
                <w:rFonts w:hint="default"/>
                <w:color w:val="auto"/>
              </w:rPr>
            </w:pPr>
            <w:r w:rsidRPr="0039207C">
              <w:rPr>
                <w:rFonts w:ascii="ＭＳ 明朝" w:hAnsi="ＭＳ 明朝"/>
                <w:color w:val="auto"/>
                <w:sz w:val="20"/>
              </w:rPr>
              <w:t>□球部</w:t>
            </w:r>
          </w:p>
          <w:p w:rsidR="00A0238B" w:rsidRPr="0039207C" w:rsidRDefault="005A2D8B" w:rsidP="00A00EF2">
            <w:pPr>
              <w:spacing w:line="235" w:lineRule="exact"/>
              <w:ind w:firstLineChars="150" w:firstLine="306"/>
              <w:rPr>
                <w:rFonts w:hint="default"/>
                <w:color w:val="auto"/>
              </w:rPr>
            </w:pPr>
            <w:r w:rsidRPr="0039207C">
              <w:rPr>
                <w:rFonts w:ascii="ＭＳ Ｐ明朝" w:eastAsia="ＭＳ Ｐ明朝" w:hAnsi="ＭＳ Ｐ明朝"/>
                <w:color w:val="auto"/>
                <w:sz w:val="20"/>
              </w:rPr>
              <w:t>｛□十二指腸下行部（脚）｝…観察は必須ではない</w:t>
            </w:r>
          </w:p>
        </w:tc>
      </w:tr>
      <w:tr w:rsidR="0039207C" w:rsidRPr="0039207C" w:rsidTr="007E7433">
        <w:trPr>
          <w:trHeight w:val="2098"/>
        </w:trPr>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F4B" w:rsidRPr="00BC0F2D" w:rsidRDefault="007A133F" w:rsidP="002C5A24">
            <w:pPr>
              <w:spacing w:line="235"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Ⅱ.</w:t>
            </w:r>
            <w:r w:rsidR="0039207C" w:rsidRPr="00BC0F2D">
              <w:rPr>
                <w:rFonts w:ascii="ＭＳ Ｐゴシック" w:eastAsia="ＭＳ Ｐゴシック" w:hAnsi="ＭＳ Ｐゴシック"/>
                <w:color w:val="auto"/>
              </w:rPr>
              <w:t>画像の条件</w:t>
            </w:r>
          </w:p>
          <w:p w:rsidR="007E7433" w:rsidRDefault="0039207C" w:rsidP="00A00EF2">
            <w:pPr>
              <w:spacing w:beforeLines="25" w:before="111" w:line="235" w:lineRule="exact"/>
              <w:rPr>
                <w:rFonts w:ascii="ＭＳ ゴシック" w:eastAsia="ＭＳ ゴシック" w:hAnsi="ＭＳ ゴシック" w:hint="default"/>
                <w:color w:val="auto"/>
              </w:rPr>
            </w:pP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□満足しうる</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□多少改善の余地あり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□大幅に改善の余地あり</w:t>
            </w:r>
          </w:p>
          <w:p w:rsidR="007E7433" w:rsidRPr="00304377" w:rsidRDefault="007E7433" w:rsidP="00A00EF2">
            <w:pPr>
              <w:spacing w:beforeLines="50" w:before="223" w:line="235" w:lineRule="exact"/>
              <w:ind w:firstLineChars="100" w:firstLine="204"/>
              <w:rPr>
                <w:rFonts w:ascii="ＭＳ Ｐゴシック" w:eastAsia="ＭＳ Ｐゴシック" w:hAnsi="ＭＳ Ｐゴシック" w:hint="default"/>
                <w:color w:val="auto"/>
              </w:rPr>
            </w:pPr>
            <w:r w:rsidRPr="00304377">
              <w:rPr>
                <w:rFonts w:ascii="ＭＳ Ｐゴシック" w:eastAsia="ＭＳ Ｐゴシック" w:hAnsi="ＭＳ Ｐゴシック"/>
                <w:color w:val="auto"/>
                <w:sz w:val="20"/>
              </w:rPr>
              <w:t>※改善を要する点</w:t>
            </w:r>
            <w:r w:rsidRPr="00304377">
              <w:rPr>
                <w:rFonts w:ascii="ＭＳ Ｐゴシック" w:eastAsia="ＭＳ Ｐゴシック" w:hAnsi="ＭＳ Ｐゴシック"/>
                <w:color w:val="auto"/>
                <w:spacing w:val="-7"/>
                <w:sz w:val="20"/>
              </w:rPr>
              <w:t xml:space="preserve"> </w:t>
            </w:r>
            <w:r w:rsidRPr="00304377">
              <w:rPr>
                <w:rFonts w:ascii="ＭＳ Ｐゴシック" w:eastAsia="ＭＳ Ｐゴシック" w:hAnsi="ＭＳ Ｐゴシック"/>
                <w:color w:val="auto"/>
                <w:sz w:val="20"/>
              </w:rPr>
              <w:t>（Ⅱで「満足しうる」以外の場合チェック）</w:t>
            </w:r>
          </w:p>
          <w:p w:rsidR="007E7433" w:rsidRPr="00EF56A9" w:rsidRDefault="007E7433" w:rsidP="00A00EF2">
            <w:pPr>
              <w:spacing w:line="235" w:lineRule="exact"/>
              <w:ind w:firstLineChars="200" w:firstLine="409"/>
              <w:rPr>
                <w:rFonts w:asciiTheme="minorEastAsia" w:eastAsiaTheme="minorEastAsia" w:hAnsiTheme="minorEastAsia" w:hint="default"/>
                <w:color w:val="auto"/>
              </w:rPr>
            </w:pPr>
            <w:r>
              <w:rPr>
                <w:rFonts w:asciiTheme="minorEastAsia" w:eastAsiaTheme="minorEastAsia" w:hAnsiTheme="minorEastAsia"/>
                <w:color w:val="auto"/>
                <w:sz w:val="20"/>
              </w:rPr>
              <w:t>□色調　　　　　　　　→　□赤みが強い　□黄色味が強い　□青味が強い</w:t>
            </w:r>
          </w:p>
          <w:p w:rsidR="007E7433" w:rsidRPr="00EF56A9" w:rsidRDefault="007E7433" w:rsidP="00A00EF2">
            <w:pPr>
              <w:spacing w:line="235" w:lineRule="exact"/>
              <w:ind w:firstLineChars="200" w:firstLine="409"/>
              <w:rPr>
                <w:rFonts w:asciiTheme="minorEastAsia" w:eastAsiaTheme="minorEastAsia" w:hAnsiTheme="minorEastAsia" w:hint="default"/>
                <w:color w:val="auto"/>
              </w:rPr>
            </w:pPr>
            <w:r w:rsidRPr="00EF56A9">
              <w:rPr>
                <w:rFonts w:asciiTheme="minorEastAsia" w:eastAsiaTheme="minorEastAsia" w:hAnsiTheme="minorEastAsia"/>
                <w:color w:val="auto"/>
                <w:sz w:val="20"/>
              </w:rPr>
              <w:t>□露出</w:t>
            </w:r>
            <w:r>
              <w:rPr>
                <w:rFonts w:asciiTheme="minorEastAsia" w:eastAsiaTheme="minorEastAsia" w:hAnsiTheme="minorEastAsia"/>
                <w:color w:val="auto"/>
                <w:sz w:val="20"/>
              </w:rPr>
              <w:t xml:space="preserve">　　　　　　　　</w:t>
            </w:r>
            <w:r w:rsidRPr="00EF56A9">
              <w:rPr>
                <w:rFonts w:asciiTheme="minorEastAsia" w:eastAsiaTheme="minorEastAsia" w:hAnsiTheme="minorEastAsia"/>
                <w:color w:val="auto"/>
                <w:sz w:val="20"/>
              </w:rPr>
              <w:t>→</w:t>
            </w:r>
            <w:r w:rsidRPr="00EF56A9">
              <w:rPr>
                <w:rFonts w:asciiTheme="minorEastAsia" w:eastAsiaTheme="minorEastAsia" w:hAnsiTheme="minorEastAsia"/>
                <w:color w:val="auto"/>
                <w:spacing w:val="-7"/>
                <w:sz w:val="20"/>
              </w:rPr>
              <w:t xml:space="preserve">  </w:t>
            </w:r>
            <w:r w:rsidRPr="00EF56A9">
              <w:rPr>
                <w:rFonts w:asciiTheme="minorEastAsia" w:eastAsiaTheme="minorEastAsia" w:hAnsiTheme="minorEastAsia"/>
                <w:color w:val="auto"/>
                <w:sz w:val="20"/>
              </w:rPr>
              <w:t>□オーバー気味　□アンダー気味</w:t>
            </w:r>
          </w:p>
          <w:p w:rsidR="007E7433" w:rsidRPr="00EF56A9" w:rsidRDefault="007E7433" w:rsidP="00A00EF2">
            <w:pPr>
              <w:spacing w:line="235" w:lineRule="exact"/>
              <w:ind w:firstLineChars="200" w:firstLine="409"/>
              <w:rPr>
                <w:rFonts w:asciiTheme="minorEastAsia" w:eastAsiaTheme="minorEastAsia" w:hAnsiTheme="minorEastAsia" w:hint="default"/>
                <w:color w:val="auto"/>
              </w:rPr>
            </w:pPr>
            <w:r w:rsidRPr="00EF56A9">
              <w:rPr>
                <w:rFonts w:asciiTheme="minorEastAsia" w:eastAsiaTheme="minorEastAsia" w:hAnsiTheme="minorEastAsia"/>
                <w:color w:val="auto"/>
                <w:sz w:val="20"/>
              </w:rPr>
              <w:t>□レンズ面ののっかり　→　□目立つ　□多少目立つ</w:t>
            </w:r>
          </w:p>
          <w:p w:rsidR="00A0238B" w:rsidRPr="0039207C" w:rsidRDefault="007E7433" w:rsidP="00A00EF2">
            <w:pPr>
              <w:spacing w:line="235" w:lineRule="exact"/>
              <w:ind w:firstLineChars="200" w:firstLine="409"/>
              <w:rPr>
                <w:rFonts w:hint="default"/>
                <w:color w:val="auto"/>
              </w:rPr>
            </w:pPr>
            <w:r w:rsidRPr="00EF56A9">
              <w:rPr>
                <w:rFonts w:asciiTheme="minorEastAsia" w:eastAsiaTheme="minorEastAsia" w:hAnsiTheme="minorEastAsia"/>
                <w:color w:val="auto"/>
                <w:sz w:val="20"/>
              </w:rPr>
              <w:t>□ぶれ・ピントのずれ　→　□目立つ　□多少目立つ</w:t>
            </w:r>
          </w:p>
        </w:tc>
      </w:tr>
      <w:tr w:rsidR="0039207C" w:rsidRPr="0039207C" w:rsidTr="007E7433">
        <w:trPr>
          <w:trHeight w:val="1417"/>
        </w:trPr>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F4B" w:rsidRPr="00BC0F2D" w:rsidRDefault="007A133F" w:rsidP="002C5A24">
            <w:pPr>
              <w:spacing w:line="235"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Ⅲ.</w:t>
            </w:r>
            <w:r w:rsidR="0039207C" w:rsidRPr="00BC0F2D">
              <w:rPr>
                <w:rFonts w:ascii="ＭＳ Ｐゴシック" w:eastAsia="ＭＳ Ｐゴシック" w:hAnsi="ＭＳ Ｐゴシック"/>
                <w:color w:val="auto"/>
              </w:rPr>
              <w:t>内視鏡操作による物理的粘膜損傷の程度</w:t>
            </w:r>
          </w:p>
          <w:p w:rsidR="007E7433" w:rsidRDefault="0039207C" w:rsidP="00A00EF2">
            <w:pPr>
              <w:spacing w:beforeLines="25" w:before="111" w:line="235" w:lineRule="exact"/>
              <w:rPr>
                <w:rFonts w:ascii="ＭＳ ゴシック" w:eastAsia="ＭＳ ゴシック" w:hAnsi="ＭＳ ゴシック" w:hint="default"/>
                <w:color w:val="auto"/>
              </w:rPr>
            </w:pP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□満足しうる</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□多少改善の余地あり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□大幅に改善の余地あり</w:t>
            </w:r>
          </w:p>
          <w:p w:rsidR="007E7433" w:rsidRPr="00304377" w:rsidRDefault="007E7433" w:rsidP="00A00EF2">
            <w:pPr>
              <w:spacing w:beforeLines="50" w:before="223" w:line="235" w:lineRule="exact"/>
              <w:ind w:firstLineChars="100" w:firstLine="204"/>
              <w:rPr>
                <w:rFonts w:ascii="ＭＳ Ｐゴシック" w:eastAsia="ＭＳ Ｐゴシック" w:hAnsi="ＭＳ Ｐゴシック" w:hint="default"/>
                <w:color w:val="auto"/>
              </w:rPr>
            </w:pPr>
            <w:r w:rsidRPr="00304377">
              <w:rPr>
                <w:rFonts w:ascii="ＭＳ Ｐゴシック" w:eastAsia="ＭＳ Ｐゴシック" w:hAnsi="ＭＳ Ｐゴシック"/>
                <w:color w:val="auto"/>
                <w:sz w:val="20"/>
              </w:rPr>
              <w:t>※改善を要する点</w:t>
            </w:r>
            <w:r w:rsidRPr="00304377">
              <w:rPr>
                <w:rFonts w:ascii="ＭＳ Ｐゴシック" w:eastAsia="ＭＳ Ｐゴシック" w:hAnsi="ＭＳ Ｐゴシック"/>
                <w:color w:val="auto"/>
                <w:spacing w:val="-7"/>
                <w:sz w:val="20"/>
              </w:rPr>
              <w:t xml:space="preserve"> </w:t>
            </w:r>
            <w:r w:rsidRPr="00304377">
              <w:rPr>
                <w:rFonts w:ascii="ＭＳ Ｐゴシック" w:eastAsia="ＭＳ Ｐゴシック" w:hAnsi="ＭＳ Ｐゴシック"/>
                <w:color w:val="auto"/>
                <w:sz w:val="20"/>
              </w:rPr>
              <w:t>（Ⅲで「満足しうる」以外の場合チェック）</w:t>
            </w:r>
          </w:p>
          <w:p w:rsidR="00A0238B" w:rsidRPr="0039207C" w:rsidRDefault="007E7433" w:rsidP="00A00EF2">
            <w:pPr>
              <w:spacing w:line="235" w:lineRule="exact"/>
              <w:ind w:firstLineChars="200" w:firstLine="409"/>
              <w:rPr>
                <w:rFonts w:hint="default"/>
                <w:color w:val="auto"/>
              </w:rPr>
            </w:pPr>
            <w:r w:rsidRPr="0039207C">
              <w:rPr>
                <w:rFonts w:ascii="ＭＳ 明朝" w:hAnsi="ＭＳ 明朝"/>
                <w:color w:val="auto"/>
                <w:sz w:val="20"/>
              </w:rPr>
              <w:t>□内視鏡の接触や吸引による出血・発赤などの変化　→　□目立つ　□多少目立つ</w:t>
            </w:r>
          </w:p>
        </w:tc>
      </w:tr>
      <w:tr w:rsidR="0039207C" w:rsidRPr="0039207C" w:rsidTr="007E7433">
        <w:trPr>
          <w:trHeight w:val="794"/>
        </w:trPr>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F4B" w:rsidRPr="00BC0F2D" w:rsidRDefault="007A133F" w:rsidP="002C5A24">
            <w:pPr>
              <w:spacing w:line="235"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Ⅳ.</w:t>
            </w:r>
            <w:r w:rsidR="0039207C" w:rsidRPr="00BC0F2D">
              <w:rPr>
                <w:rFonts w:ascii="ＭＳ Ｐゴシック" w:eastAsia="ＭＳ Ｐゴシック" w:hAnsi="ＭＳ Ｐゴシック"/>
                <w:color w:val="auto"/>
              </w:rPr>
              <w:t>空気量</w:t>
            </w:r>
          </w:p>
          <w:p w:rsidR="00A0238B" w:rsidRPr="0039207C" w:rsidRDefault="0039207C" w:rsidP="00A00EF2">
            <w:pPr>
              <w:spacing w:beforeLines="25" w:before="111" w:line="235" w:lineRule="exact"/>
              <w:rPr>
                <w:rFonts w:hint="default"/>
                <w:color w:val="auto"/>
              </w:rPr>
            </w:pP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□丁度よい</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□多い</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□多少少ない</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□かなり少ない</w:t>
            </w:r>
          </w:p>
        </w:tc>
      </w:tr>
      <w:tr w:rsidR="0039207C" w:rsidRPr="0039207C" w:rsidTr="007E7433">
        <w:trPr>
          <w:trHeight w:val="794"/>
        </w:trPr>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238B" w:rsidRPr="00BC0F2D" w:rsidRDefault="007A133F" w:rsidP="007D4C86">
            <w:pPr>
              <w:spacing w:line="235"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Ⅴ.</w:t>
            </w:r>
            <w:r w:rsidR="0039207C" w:rsidRPr="00BC0F2D">
              <w:rPr>
                <w:rFonts w:ascii="ＭＳ Ｐゴシック" w:eastAsia="ＭＳ Ｐゴシック" w:hAnsi="ＭＳ Ｐゴシック"/>
                <w:color w:val="auto"/>
              </w:rPr>
              <w:t>画像のコマ数</w:t>
            </w:r>
          </w:p>
          <w:p w:rsidR="00A0238B" w:rsidRPr="0039207C" w:rsidRDefault="0039207C" w:rsidP="00A00EF2">
            <w:pPr>
              <w:spacing w:beforeLines="25" w:before="111" w:line="235" w:lineRule="exact"/>
              <w:rPr>
                <w:rFonts w:hint="default"/>
                <w:color w:val="auto"/>
              </w:rPr>
            </w:pP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□丁度よい</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□かなり多い</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□多少多い</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□かなり少ない</w:t>
            </w:r>
          </w:p>
        </w:tc>
      </w:tr>
      <w:tr w:rsidR="0039207C" w:rsidRPr="0039207C" w:rsidTr="002C5A24">
        <w:trPr>
          <w:trHeight w:val="1701"/>
        </w:trPr>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F4B" w:rsidRPr="00BC0F2D" w:rsidRDefault="007A133F" w:rsidP="002C5A24">
            <w:pPr>
              <w:spacing w:line="235"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Ⅵ.</w:t>
            </w:r>
            <w:r w:rsidR="0039207C" w:rsidRPr="00BC0F2D">
              <w:rPr>
                <w:rFonts w:ascii="ＭＳ Ｐゴシック" w:eastAsia="ＭＳ Ｐゴシック" w:hAnsi="ＭＳ Ｐゴシック"/>
                <w:color w:val="auto"/>
              </w:rPr>
              <w:t>前処置</w:t>
            </w:r>
          </w:p>
          <w:p w:rsidR="007E7433" w:rsidRDefault="0039207C" w:rsidP="00A00EF2">
            <w:pPr>
              <w:spacing w:beforeLines="25" w:before="111" w:line="235" w:lineRule="exact"/>
              <w:rPr>
                <w:rFonts w:ascii="ＭＳ ゴシック" w:eastAsia="ＭＳ ゴシック" w:hAnsi="ＭＳ ゴシック" w:hint="default"/>
                <w:color w:val="auto"/>
              </w:rPr>
            </w:pP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□満足しうる</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□多少改善の余地あり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□かなり改善の余地あり</w:t>
            </w:r>
            <w:r w:rsidRPr="0039207C">
              <w:rPr>
                <w:rFonts w:ascii="ＭＳ Ｐ明朝" w:eastAsia="ＭＳ Ｐ明朝" w:hAnsi="ＭＳ Ｐ明朝"/>
                <w:color w:val="auto"/>
                <w:w w:val="151"/>
                <w:sz w:val="20"/>
              </w:rPr>
              <w:t xml:space="preserve">　</w:t>
            </w:r>
            <w:r w:rsidRPr="0039207C">
              <w:rPr>
                <w:rFonts w:ascii="ＭＳ Ｐ明朝" w:eastAsia="ＭＳ Ｐ明朝" w:hAnsi="ＭＳ Ｐ明朝"/>
                <w:color w:val="auto"/>
                <w:sz w:val="20"/>
              </w:rPr>
              <w:t>□大幅に改善の余地あり</w:t>
            </w:r>
          </w:p>
          <w:p w:rsidR="007E7433" w:rsidRPr="00304377" w:rsidRDefault="007E7433" w:rsidP="00A00EF2">
            <w:pPr>
              <w:spacing w:beforeLines="50" w:before="223" w:line="235" w:lineRule="exact"/>
              <w:ind w:firstLineChars="100" w:firstLine="204"/>
              <w:rPr>
                <w:rFonts w:ascii="ＭＳ Ｐゴシック" w:eastAsia="ＭＳ Ｐゴシック" w:hAnsi="ＭＳ Ｐゴシック" w:hint="default"/>
                <w:color w:val="auto"/>
              </w:rPr>
            </w:pPr>
            <w:r w:rsidRPr="00304377">
              <w:rPr>
                <w:rFonts w:ascii="ＭＳ Ｐゴシック" w:eastAsia="ＭＳ Ｐゴシック" w:hAnsi="ＭＳ Ｐゴシック"/>
                <w:color w:val="auto"/>
                <w:sz w:val="20"/>
              </w:rPr>
              <w:t>※改善を要する点</w:t>
            </w:r>
            <w:r w:rsidRPr="00304377">
              <w:rPr>
                <w:rFonts w:ascii="ＭＳ Ｐゴシック" w:eastAsia="ＭＳ Ｐゴシック" w:hAnsi="ＭＳ Ｐゴシック"/>
                <w:color w:val="auto"/>
                <w:spacing w:val="-7"/>
                <w:sz w:val="20"/>
              </w:rPr>
              <w:t xml:space="preserve"> </w:t>
            </w:r>
            <w:r w:rsidRPr="00304377">
              <w:rPr>
                <w:rFonts w:ascii="ＭＳ Ｐゴシック" w:eastAsia="ＭＳ Ｐゴシック" w:hAnsi="ＭＳ Ｐゴシック"/>
                <w:color w:val="auto"/>
                <w:sz w:val="20"/>
              </w:rPr>
              <w:t>（Ⅵで「満足しうる」以外の場合チェック）</w:t>
            </w:r>
          </w:p>
          <w:p w:rsidR="007E7433" w:rsidRPr="0039207C" w:rsidRDefault="007E7433" w:rsidP="00A00EF2">
            <w:pPr>
              <w:spacing w:line="235" w:lineRule="exact"/>
              <w:ind w:firstLineChars="200" w:firstLine="409"/>
              <w:rPr>
                <w:rFonts w:hint="default"/>
                <w:color w:val="auto"/>
              </w:rPr>
            </w:pPr>
            <w:r w:rsidRPr="0039207C">
              <w:rPr>
                <w:rFonts w:ascii="ＭＳ 明朝" w:hAnsi="ＭＳ 明朝"/>
                <w:color w:val="auto"/>
                <w:sz w:val="20"/>
              </w:rPr>
              <w:t>□粘液・内服薬などの粘膜への付着　→　□目立つ　□多少目立つ</w:t>
            </w:r>
          </w:p>
          <w:p w:rsidR="00A0238B" w:rsidRPr="0039207C" w:rsidRDefault="007E7433" w:rsidP="00A00EF2">
            <w:pPr>
              <w:spacing w:line="235" w:lineRule="exact"/>
              <w:ind w:firstLineChars="200" w:firstLine="409"/>
              <w:rPr>
                <w:rFonts w:hint="default"/>
                <w:color w:val="auto"/>
              </w:rPr>
            </w:pPr>
            <w:r w:rsidRPr="0039207C">
              <w:rPr>
                <w:rFonts w:ascii="ＭＳ 明朝" w:hAnsi="ＭＳ 明朝"/>
                <w:color w:val="auto"/>
                <w:sz w:val="20"/>
              </w:rPr>
              <w:t>□食物残渣　　　　　　　　　　　　→　□目立つ　□多少目立つ</w:t>
            </w:r>
          </w:p>
        </w:tc>
      </w:tr>
      <w:tr w:rsidR="0039207C" w:rsidRPr="0039207C" w:rsidTr="00A00EF2">
        <w:trPr>
          <w:trHeight w:val="447"/>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0238B" w:rsidRPr="00BC0F2D" w:rsidRDefault="007A133F" w:rsidP="00A00EF2">
            <w:pPr>
              <w:spacing w:beforeLines="25" w:before="111" w:line="260" w:lineRule="exact"/>
              <w:rPr>
                <w:rFonts w:ascii="ＭＳ Ｐゴシック" w:eastAsia="ＭＳ Ｐゴシック" w:hAnsi="ＭＳ Ｐゴシック" w:hint="default"/>
                <w:color w:val="auto"/>
              </w:rPr>
            </w:pPr>
            <w:r w:rsidRPr="00BC0F2D">
              <w:rPr>
                <w:rFonts w:ascii="ＭＳ Ｐゴシック" w:eastAsia="ＭＳ Ｐゴシック" w:hAnsi="ＭＳ Ｐゴシック"/>
                <w:color w:val="auto"/>
              </w:rPr>
              <w:t>Ⅶ.</w:t>
            </w:r>
            <w:r w:rsidR="0039207C" w:rsidRPr="00BC0F2D">
              <w:rPr>
                <w:rFonts w:ascii="ＭＳ Ｐゴシック" w:eastAsia="ＭＳ Ｐゴシック" w:hAnsi="ＭＳ Ｐゴシック"/>
                <w:color w:val="auto"/>
              </w:rPr>
              <w:t>その他</w:t>
            </w:r>
            <w:r w:rsidR="0039207C" w:rsidRPr="00BC0F2D">
              <w:rPr>
                <w:rFonts w:ascii="ＭＳ Ｐゴシック" w:eastAsia="ＭＳ Ｐゴシック" w:hAnsi="ＭＳ Ｐゴシック"/>
                <w:color w:val="auto"/>
                <w:sz w:val="18"/>
              </w:rPr>
              <w:t>（その他の気付いた点を記入）</w:t>
            </w:r>
          </w:p>
          <w:p w:rsidR="007E7433" w:rsidRDefault="007E7433" w:rsidP="007E7433">
            <w:pPr>
              <w:rPr>
                <w:rFonts w:hint="default"/>
                <w:color w:val="auto"/>
              </w:rPr>
            </w:pPr>
          </w:p>
          <w:p w:rsidR="007E7433" w:rsidRPr="007E7433" w:rsidRDefault="007E7433" w:rsidP="007E7433">
            <w:pPr>
              <w:rPr>
                <w:rFonts w:hint="default"/>
                <w:color w:val="auto"/>
              </w:rPr>
            </w:pPr>
          </w:p>
        </w:tc>
      </w:tr>
      <w:tr w:rsidR="0039207C" w:rsidRPr="0039207C" w:rsidTr="00A00EF2">
        <w:trPr>
          <w:trHeight w:val="447"/>
        </w:trPr>
        <w:tc>
          <w:tcPr>
            <w:tcW w:w="9480" w:type="dxa"/>
            <w:vMerge/>
            <w:tcBorders>
              <w:top w:val="nil"/>
              <w:left w:val="single" w:sz="4" w:space="0" w:color="000000"/>
              <w:bottom w:val="single" w:sz="4" w:space="0" w:color="000000"/>
              <w:right w:val="single" w:sz="4" w:space="0" w:color="000000"/>
            </w:tcBorders>
            <w:tcMar>
              <w:left w:w="49" w:type="dxa"/>
              <w:right w:w="49" w:type="dxa"/>
            </w:tcMar>
          </w:tcPr>
          <w:p w:rsidR="00A0238B" w:rsidRPr="0039207C" w:rsidRDefault="00A0238B">
            <w:pPr>
              <w:rPr>
                <w:rFonts w:hint="default"/>
                <w:color w:val="auto"/>
              </w:rPr>
            </w:pPr>
          </w:p>
        </w:tc>
      </w:tr>
    </w:tbl>
    <w:p w:rsidR="00467D08" w:rsidRPr="0039207C" w:rsidRDefault="00467D08">
      <w:pPr>
        <w:spacing w:line="235" w:lineRule="exact"/>
        <w:rPr>
          <w:rFonts w:ascii="ＭＳ ゴシック" w:eastAsia="ＭＳ ゴシック" w:hAnsi="ＭＳ ゴシック" w:hint="default"/>
          <w:color w:val="auto"/>
          <w:sz w:val="21"/>
        </w:rPr>
      </w:pPr>
    </w:p>
    <w:p w:rsidR="00A0238B" w:rsidRDefault="0039207C">
      <w:pPr>
        <w:spacing w:line="235" w:lineRule="exact"/>
        <w:rPr>
          <w:rFonts w:ascii="ＭＳ ゴシック" w:eastAsia="ＭＳ ゴシック" w:hAnsi="ＭＳ ゴシック" w:hint="default"/>
          <w:color w:val="auto"/>
          <w:sz w:val="21"/>
        </w:rPr>
      </w:pPr>
      <w:r w:rsidRPr="0039207C">
        <w:rPr>
          <w:rFonts w:ascii="ＭＳ ゴシック" w:eastAsia="ＭＳ ゴシック" w:hAnsi="ＭＳ ゴシック"/>
          <w:color w:val="auto"/>
          <w:sz w:val="21"/>
        </w:rPr>
        <w:t>◎総合評価</w:t>
      </w:r>
    </w:p>
    <w:p w:rsidR="00BB71BB" w:rsidRPr="0039207C" w:rsidRDefault="00BB71BB" w:rsidP="00BB71BB">
      <w:pPr>
        <w:spacing w:line="60" w:lineRule="exact"/>
        <w:rPr>
          <w:rFonts w:hint="default"/>
          <w:color w:val="auto"/>
          <w:sz w:val="21"/>
        </w:rPr>
      </w:pPr>
    </w:p>
    <w:tbl>
      <w:tblPr>
        <w:tblW w:w="0" w:type="auto"/>
        <w:tblInd w:w="302" w:type="dxa"/>
        <w:tblLayout w:type="fixed"/>
        <w:tblCellMar>
          <w:left w:w="0" w:type="dxa"/>
          <w:right w:w="0" w:type="dxa"/>
        </w:tblCellMar>
        <w:tblLook w:val="0000" w:firstRow="0" w:lastRow="0" w:firstColumn="0" w:lastColumn="0" w:noHBand="0" w:noVBand="0"/>
      </w:tblPr>
      <w:tblGrid>
        <w:gridCol w:w="9000"/>
      </w:tblGrid>
      <w:tr w:rsidR="0039207C" w:rsidRPr="0039207C" w:rsidTr="00BB71BB">
        <w:trPr>
          <w:trHeight w:val="1435"/>
        </w:trPr>
        <w:tc>
          <w:tcPr>
            <w:tcW w:w="9000" w:type="dxa"/>
            <w:tcBorders>
              <w:top w:val="double" w:sz="4" w:space="0" w:color="000000"/>
              <w:left w:val="double" w:sz="4" w:space="0" w:color="000000"/>
              <w:bottom w:val="double" w:sz="4" w:space="0" w:color="000000"/>
              <w:right w:val="double" w:sz="4" w:space="0" w:color="000000"/>
            </w:tcBorders>
            <w:tcMar>
              <w:left w:w="49" w:type="dxa"/>
              <w:right w:w="49" w:type="dxa"/>
            </w:tcMar>
            <w:vAlign w:val="center"/>
          </w:tcPr>
          <w:p w:rsidR="00A0238B" w:rsidRPr="0039207C" w:rsidRDefault="0039207C" w:rsidP="00551767">
            <w:pPr>
              <w:snapToGrid w:val="0"/>
              <w:spacing w:beforeLines="20" w:before="89"/>
              <w:rPr>
                <w:rFonts w:hint="default"/>
                <w:color w:val="auto"/>
                <w:sz w:val="21"/>
              </w:rPr>
            </w:pPr>
            <w:r w:rsidRPr="0039207C">
              <w:rPr>
                <w:color w:val="auto"/>
                <w:sz w:val="21"/>
              </w:rPr>
              <w:t xml:space="preserve">　□良好</w:t>
            </w:r>
          </w:p>
          <w:p w:rsidR="00A0238B" w:rsidRPr="0039207C" w:rsidRDefault="0039207C" w:rsidP="00551767">
            <w:pPr>
              <w:snapToGrid w:val="0"/>
              <w:spacing w:beforeLines="20" w:before="89"/>
              <w:rPr>
                <w:rFonts w:hint="default"/>
                <w:color w:val="auto"/>
                <w:sz w:val="21"/>
              </w:rPr>
            </w:pPr>
            <w:r w:rsidRPr="0039207C">
              <w:rPr>
                <w:color w:val="auto"/>
                <w:sz w:val="21"/>
              </w:rPr>
              <w:t xml:space="preserve">　□もう少し改善が必要</w:t>
            </w:r>
          </w:p>
          <w:p w:rsidR="00A0238B" w:rsidRPr="0039207C" w:rsidRDefault="0039207C" w:rsidP="00551767">
            <w:pPr>
              <w:snapToGrid w:val="0"/>
              <w:spacing w:beforeLines="20" w:before="89"/>
              <w:rPr>
                <w:rFonts w:hint="default"/>
                <w:color w:val="auto"/>
                <w:sz w:val="21"/>
              </w:rPr>
            </w:pPr>
            <w:r w:rsidRPr="0039207C">
              <w:rPr>
                <w:color w:val="auto"/>
                <w:sz w:val="21"/>
              </w:rPr>
              <w:t xml:space="preserve">　□かなり改善が必要</w:t>
            </w:r>
          </w:p>
          <w:p w:rsidR="00A0238B" w:rsidRPr="0039207C" w:rsidRDefault="0039207C" w:rsidP="00EA6729">
            <w:pPr>
              <w:snapToGrid w:val="0"/>
              <w:spacing w:beforeLines="20" w:before="89" w:afterLines="20" w:after="89"/>
              <w:rPr>
                <w:rFonts w:hint="default"/>
                <w:color w:val="auto"/>
              </w:rPr>
            </w:pPr>
            <w:r w:rsidRPr="0039207C">
              <w:rPr>
                <w:color w:val="auto"/>
                <w:sz w:val="21"/>
              </w:rPr>
              <w:t xml:space="preserve">　□複数の委員で検討した結果、上記の理由で検診に足る画像ではないと判断</w:t>
            </w:r>
          </w:p>
        </w:tc>
      </w:tr>
    </w:tbl>
    <w:p w:rsidR="00A0238B" w:rsidRDefault="0039207C" w:rsidP="007E7433">
      <w:pPr>
        <w:jc w:val="right"/>
        <w:rPr>
          <w:rFonts w:hint="default"/>
          <w:color w:val="auto"/>
          <w:sz w:val="18"/>
        </w:rPr>
      </w:pPr>
      <w:r w:rsidRPr="0039207C">
        <w:rPr>
          <w:color w:val="auto"/>
          <w:sz w:val="18"/>
        </w:rPr>
        <w:t>評価機関名（　　　　　　　　　　　　　　　　　　）</w:t>
      </w:r>
    </w:p>
    <w:sectPr w:rsidR="00A0238B" w:rsidSect="00551767">
      <w:headerReference w:type="even" r:id="rId9"/>
      <w:headerReference w:type="default" r:id="rId10"/>
      <w:footerReference w:type="even" r:id="rId11"/>
      <w:footerReference w:type="default" r:id="rId12"/>
      <w:footnotePr>
        <w:numRestart w:val="eachPage"/>
      </w:footnotePr>
      <w:endnotePr>
        <w:numFmt w:val="decimal"/>
      </w:endnotePr>
      <w:type w:val="continuous"/>
      <w:pgSz w:w="11906" w:h="16838" w:code="9"/>
      <w:pgMar w:top="851" w:right="964" w:bottom="567" w:left="1168" w:header="284" w:footer="0" w:gutter="0"/>
      <w:cols w:space="720"/>
      <w:docGrid w:type="linesAndChars" w:linePitch="447" w:charSpace="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24" w:rsidRDefault="002C5A24">
      <w:pPr>
        <w:spacing w:before="327"/>
        <w:rPr>
          <w:rFonts w:hint="default"/>
        </w:rPr>
      </w:pPr>
      <w:r>
        <w:continuationSeparator/>
      </w:r>
    </w:p>
  </w:endnote>
  <w:endnote w:type="continuationSeparator" w:id="0">
    <w:p w:rsidR="002C5A24" w:rsidRDefault="002C5A2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24" w:rsidRDefault="002C5A24">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2C5A24" w:rsidRDefault="002C5A24">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24" w:rsidRDefault="002C5A24">
    <w:pPr>
      <w:framePr w:wrap="auto" w:vAnchor="page" w:hAnchor="margin" w:xAlign="center" w:y="16007"/>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2C5A24" w:rsidRDefault="002C5A24">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24" w:rsidRPr="00A00EF2" w:rsidRDefault="002C5A24" w:rsidP="00A00EF2">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24" w:rsidRDefault="002C5A24">
      <w:pPr>
        <w:spacing w:before="327"/>
        <w:rPr>
          <w:rFonts w:hint="default"/>
        </w:rPr>
      </w:pPr>
      <w:r>
        <w:continuationSeparator/>
      </w:r>
    </w:p>
  </w:footnote>
  <w:footnote w:type="continuationSeparator" w:id="0">
    <w:p w:rsidR="002C5A24" w:rsidRDefault="002C5A24">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24" w:rsidRDefault="002C5A24">
    <w:pPr>
      <w:rPr>
        <w:rFonts w:hint="defaul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24" w:rsidRPr="00A00EF2" w:rsidRDefault="002C5A24" w:rsidP="00A00EF2">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69"/>
  <w:hyphenationZone w:val="0"/>
  <w:drawingGridHorizontalSpacing w:val="122"/>
  <w:drawingGridVerticalSpacing w:val="447"/>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38B"/>
    <w:rsid w:val="000818F0"/>
    <w:rsid w:val="002C5A24"/>
    <w:rsid w:val="00304377"/>
    <w:rsid w:val="00375D44"/>
    <w:rsid w:val="0039207C"/>
    <w:rsid w:val="00464E31"/>
    <w:rsid w:val="00467D08"/>
    <w:rsid w:val="00493155"/>
    <w:rsid w:val="004C35C6"/>
    <w:rsid w:val="005370E7"/>
    <w:rsid w:val="00551767"/>
    <w:rsid w:val="005A2D8B"/>
    <w:rsid w:val="00623A7A"/>
    <w:rsid w:val="00634198"/>
    <w:rsid w:val="00721B96"/>
    <w:rsid w:val="007A133F"/>
    <w:rsid w:val="007D4C86"/>
    <w:rsid w:val="007E7433"/>
    <w:rsid w:val="00871B9A"/>
    <w:rsid w:val="009D5A8E"/>
    <w:rsid w:val="00A00EF2"/>
    <w:rsid w:val="00A0238B"/>
    <w:rsid w:val="00AA2C46"/>
    <w:rsid w:val="00AC2C27"/>
    <w:rsid w:val="00AF183F"/>
    <w:rsid w:val="00BB71BB"/>
    <w:rsid w:val="00BC0F2D"/>
    <w:rsid w:val="00C03075"/>
    <w:rsid w:val="00CF4B45"/>
    <w:rsid w:val="00D37F4B"/>
    <w:rsid w:val="00D70D50"/>
    <w:rsid w:val="00DB641A"/>
    <w:rsid w:val="00E13F27"/>
    <w:rsid w:val="00E97102"/>
    <w:rsid w:val="00EA6729"/>
    <w:rsid w:val="00EF56A9"/>
    <w:rsid w:val="00F002CA"/>
    <w:rsid w:val="00F130B5"/>
    <w:rsid w:val="00F24E23"/>
    <w:rsid w:val="00F9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paragraph" w:styleId="a3">
    <w:name w:val="header"/>
    <w:basedOn w:val="a"/>
    <w:link w:val="a4"/>
    <w:uiPriority w:val="99"/>
    <w:unhideWhenUsed/>
    <w:rsid w:val="00467D08"/>
    <w:pPr>
      <w:tabs>
        <w:tab w:val="center" w:pos="4252"/>
        <w:tab w:val="right" w:pos="8504"/>
      </w:tabs>
      <w:snapToGrid w:val="0"/>
    </w:pPr>
  </w:style>
  <w:style w:type="character" w:customStyle="1" w:styleId="a4">
    <w:name w:val="ヘッダー (文字)"/>
    <w:basedOn w:val="a0"/>
    <w:link w:val="a3"/>
    <w:uiPriority w:val="99"/>
    <w:rsid w:val="00467D08"/>
    <w:rPr>
      <w:rFonts w:ascii="Times New Roman" w:hAnsi="Times New Roman"/>
      <w:color w:val="000000"/>
      <w:sz w:val="24"/>
    </w:rPr>
  </w:style>
  <w:style w:type="paragraph" w:styleId="a5">
    <w:name w:val="footer"/>
    <w:basedOn w:val="a"/>
    <w:link w:val="a6"/>
    <w:uiPriority w:val="99"/>
    <w:unhideWhenUsed/>
    <w:rsid w:val="00467D08"/>
    <w:pPr>
      <w:tabs>
        <w:tab w:val="center" w:pos="4252"/>
        <w:tab w:val="right" w:pos="8504"/>
      </w:tabs>
      <w:snapToGrid w:val="0"/>
    </w:pPr>
  </w:style>
  <w:style w:type="character" w:customStyle="1" w:styleId="a6">
    <w:name w:val="フッター (文字)"/>
    <w:basedOn w:val="a0"/>
    <w:link w:val="a5"/>
    <w:uiPriority w:val="99"/>
    <w:rsid w:val="00467D08"/>
    <w:rPr>
      <w:rFonts w:ascii="Times New Roman" w:hAnsi="Times New Roman"/>
      <w:color w:val="000000"/>
      <w:sz w:val="24"/>
    </w:rPr>
  </w:style>
  <w:style w:type="paragraph" w:styleId="a7">
    <w:name w:val="Balloon Text"/>
    <w:basedOn w:val="a"/>
    <w:link w:val="a8"/>
    <w:uiPriority w:val="99"/>
    <w:semiHidden/>
    <w:unhideWhenUsed/>
    <w:rsid w:val="004C35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5C6"/>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72DD-375F-4000-81BC-686B4C25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CBF8809C.dotm</Template>
  <TotalTime>218926517</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130117</cp:lastModifiedBy>
  <cp:revision>35</cp:revision>
  <cp:lastPrinted>2019-01-31T05:50:00Z</cp:lastPrinted>
  <dcterms:created xsi:type="dcterms:W3CDTF">2017-04-02T06:05:00Z</dcterms:created>
  <dcterms:modified xsi:type="dcterms:W3CDTF">2019-01-31T05:52:00Z</dcterms:modified>
</cp:coreProperties>
</file>